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97D2" w14:textId="585D226A" w:rsidR="00F41C6A" w:rsidRDefault="00F41C6A" w:rsidP="00F41C6A">
      <w:pPr>
        <w:pStyle w:val="af"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E1ED74" wp14:editId="315F807A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0F28" w14:textId="77777777" w:rsidR="00F41C6A" w:rsidRDefault="00F41C6A" w:rsidP="00F41C6A">
      <w:pPr>
        <w:pStyle w:val="af"/>
        <w:ind w:left="5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A83C40" w14:textId="77777777" w:rsidR="00B2294C" w:rsidRPr="000A0F6A" w:rsidRDefault="00B2294C" w:rsidP="000A0F6A">
      <w:pPr>
        <w:pStyle w:val="af"/>
        <w:ind w:left="5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Россияне стали чаще ставить земельные участки на кадастровый учет</w:t>
      </w:r>
    </w:p>
    <w:p w14:paraId="581C29D5" w14:textId="77777777" w:rsidR="00B2294C" w:rsidRPr="000A0F6A" w:rsidRDefault="00B2294C" w:rsidP="000A0F6A">
      <w:pPr>
        <w:pStyle w:val="af"/>
        <w:ind w:left="5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0F6A">
        <w:rPr>
          <w:rFonts w:ascii="Times New Roman" w:hAnsi="Times New Roman" w:cs="Times New Roman"/>
          <w:i/>
          <w:sz w:val="28"/>
          <w:szCs w:val="28"/>
        </w:rPr>
        <w:t>По итогам 2019 года количество земельных участков, поставленных на кадастровый учет, увеличилось более чем на 1,1 миллиона.</w:t>
      </w:r>
    </w:p>
    <w:p w14:paraId="4B7DAE44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F6A">
        <w:rPr>
          <w:rFonts w:ascii="Times New Roman" w:hAnsi="Times New Roman" w:cs="Times New Roman"/>
          <w:b/>
          <w:sz w:val="28"/>
          <w:szCs w:val="28"/>
        </w:rPr>
        <w:t>На 1 января 2020 года в Едином государственном реестре недвижимости содержатся сведения о 60,6 млн земельных участков, из них 17,1 млн поставлены на кадастровый учет. За прошлый год количество учтенных земельных участков увеличилось более чем на 1,1 млн. К началу 2020 года доля земельных участков, сведения о кадастровом учете которых содержатся в ЕГРН, составила 28 %.</w:t>
      </w:r>
    </w:p>
    <w:p w14:paraId="2F933109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Действующее законодательство не обязывает граждан ставить на кадастровый учет принадлежащие им земельные участки. Тем не менее, в прошлом году число поставленных на кадастровый учет земельных участков увеличилось на 1 143 465. Прирост учтенных земельных наделов по данным ЕГРН в 2019 году составил 7%. На 1 января 2020 года доля земельных участков, сведения о кадастровом учете которых содержатся в ЕГРН, составила 28 %. Всего в ЕГРН содержатся сведения о 60 579 053 земельных участков.</w:t>
      </w:r>
    </w:p>
    <w:p w14:paraId="3CCCE0F0" w14:textId="6FF05451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Лидерами в рейтинге роста числа учтенных земельных участков по итогам прошлого года стали город Севастополь (51 %), Республика Крым (33 %), Ханты-Мансийский АО (19</w:t>
      </w:r>
      <w:r w:rsidR="00CE74B9" w:rsidRPr="000A0F6A">
        <w:rPr>
          <w:rFonts w:ascii="Times New Roman" w:hAnsi="Times New Roman" w:cs="Times New Roman"/>
          <w:sz w:val="28"/>
          <w:szCs w:val="28"/>
        </w:rPr>
        <w:t xml:space="preserve"> </w:t>
      </w:r>
      <w:r w:rsidRPr="000A0F6A">
        <w:rPr>
          <w:rFonts w:ascii="Times New Roman" w:hAnsi="Times New Roman" w:cs="Times New Roman"/>
          <w:sz w:val="28"/>
          <w:szCs w:val="28"/>
        </w:rPr>
        <w:t>%), Республика Дагестан (14 %), Магаданская область (13 %), Забайкальский край (13 %), республики Калмыкия, Карачаево-Черкессия, Тыва (12 %), Астраханская и Волгоградская области (12 %).</w:t>
      </w:r>
    </w:p>
    <w:p w14:paraId="1ADE39A5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Наибольшая доля земельных участков, сведения о кадастровом учете которых содержатся в ЕГРН, принадлежит Ямало-Ненецкому автономному округу (72 %), Республике Алтай (54 %), Санкт-Петербургу (54 %), Иркутской области (50 %).</w:t>
      </w:r>
    </w:p>
    <w:p w14:paraId="5A563C57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В число регионов с наименьшей долей учтенных земельный участков в ЕГРН по состоянию на 1 января 2020 года вошли Брянская, Костромская и Ульяновская области (17 %), Ставропольский край (16 %), Ивановская и Кировская области (16 %).</w:t>
      </w:r>
    </w:p>
    <w:p w14:paraId="3955C7CC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 xml:space="preserve">В результате постановки земельного участка на кадастровый учет в ЕГРН вносятся сведения о границах участка, категории земель, к которым отнесен земельный участок, виде разрешенного использования. Каждому учтенному земельному участку присваивается уникальный кадастровый номер, который позволяет идентифицировать объект и в дальнейшем проводить с ним различные операции и сделки как с индивидуально-определенной вещью. Наличие в ЕГРН сведений о земельном участке </w:t>
      </w:r>
      <w:r w:rsidRPr="000A0F6A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защитить интересы владельца в случае земельных споров, а также правильно рассчитать налог на недвижимое имущество. </w:t>
      </w:r>
    </w:p>
    <w:p w14:paraId="2ADEB00E" w14:textId="6A292A68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Кадастровая палата напоминает, что постановка недвижимости на кадастровый учет пров</w:t>
      </w:r>
      <w:r w:rsidR="00D5458A" w:rsidRPr="000A0F6A">
        <w:rPr>
          <w:rFonts w:ascii="Times New Roman" w:hAnsi="Times New Roman" w:cs="Times New Roman"/>
          <w:sz w:val="28"/>
          <w:szCs w:val="28"/>
        </w:rPr>
        <w:t>одится на безвозмездной основе.</w:t>
      </w:r>
    </w:p>
    <w:p w14:paraId="3C14E5D9" w14:textId="05E5A9E8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 xml:space="preserve">При образовании нового земельного участка необходимо сначала обратиться в местный орган власти, уполномоченный на принятие решения о предоставлении земельного участка в собственность, для получения соответствующего правового акта. Далее заказать у кадастрового инженера межевой план. Готовый межевой план вместе с заявлением можно подать в ближайшем офисе МФЦ или дистанционно – с помощью специализированных электронных </w:t>
      </w:r>
      <w:hyperlink r:id="rId6" w:history="1">
        <w:r w:rsidRPr="000A0F6A">
          <w:rPr>
            <w:rStyle w:val="a6"/>
            <w:rFonts w:ascii="Times New Roman" w:hAnsi="Times New Roman" w:cs="Times New Roman"/>
            <w:sz w:val="28"/>
            <w:szCs w:val="28"/>
          </w:rPr>
          <w:t>сервисов</w:t>
        </w:r>
      </w:hyperlink>
      <w:r w:rsidRPr="000A0F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C28ABB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 xml:space="preserve">Срок проведения учетной процедуры при обращении в МФЦ составит не более 7 рабочих дней, при подаче документов в электронном виде – не более 5 рабочих дней. В прошлом году средний фактический срок государственного кадастрового учета составил </w:t>
      </w:r>
      <w:hyperlink r:id="rId7" w:history="1">
        <w:r w:rsidRPr="000A0F6A">
          <w:rPr>
            <w:rStyle w:val="a6"/>
            <w:rFonts w:ascii="Times New Roman" w:hAnsi="Times New Roman" w:cs="Times New Roman"/>
            <w:sz w:val="28"/>
            <w:szCs w:val="28"/>
          </w:rPr>
          <w:t>4 дня</w:t>
        </w:r>
      </w:hyperlink>
      <w:r w:rsidRPr="000A0F6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2A50D3B2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>Завершающей процедурой в оформлении образованного земельного участка является регистрация. После получения права собственности владелец может распоряжаться принадлежащим ему земельным участком в полной мере. Регистрация права собственности при обращении в МФЦ проводится в срок, не превышающий 9 рабочих дней, в случае предоставления электронных документов с помощью сервисов – не дольше 7 рабочих дней. За проведение регистрации права собственности предусмотрена государственная пошлина.</w:t>
      </w:r>
    </w:p>
    <w:p w14:paraId="79D60A22" w14:textId="77777777" w:rsidR="00B2294C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 xml:space="preserve">Постановка нового земельного участка на кадастровый учет может проводиться одновременно с регистрацией права собственности в рамках единой учетно-регистрационной процедуры, в случае, если это предусмотрено законодательством. Например, если земельный участок образован в результате раздела существующего земельного участка. Срок единой учетно-регистрационной процедуры в этом случае составит не более 12 рабочих дней при подаче документов через МФЦ и не более 10 рабочих дней при использовании электронных сервисов. </w:t>
      </w:r>
    </w:p>
    <w:p w14:paraId="0FB2BB44" w14:textId="062A8AC9" w:rsidR="00390678" w:rsidRPr="000A0F6A" w:rsidRDefault="00B2294C" w:rsidP="000A0F6A">
      <w:pPr>
        <w:pStyle w:val="af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6A">
        <w:rPr>
          <w:rFonts w:ascii="Times New Roman" w:hAnsi="Times New Roman" w:cs="Times New Roman"/>
          <w:sz w:val="28"/>
          <w:szCs w:val="28"/>
        </w:rPr>
        <w:t xml:space="preserve">Завершение учетно-регистрационных процедур </w:t>
      </w:r>
      <w:r w:rsidR="00157CD4" w:rsidRPr="000A0F6A">
        <w:rPr>
          <w:rFonts w:ascii="Times New Roman" w:hAnsi="Times New Roman" w:cs="Times New Roman"/>
          <w:sz w:val="28"/>
          <w:szCs w:val="28"/>
        </w:rPr>
        <w:t>удостоверя</w:t>
      </w:r>
      <w:r w:rsidRPr="000A0F6A">
        <w:rPr>
          <w:rFonts w:ascii="Times New Roman" w:hAnsi="Times New Roman" w:cs="Times New Roman"/>
          <w:sz w:val="28"/>
          <w:szCs w:val="28"/>
        </w:rPr>
        <w:t>е</w:t>
      </w:r>
      <w:r w:rsidR="00157CD4" w:rsidRPr="000A0F6A">
        <w:rPr>
          <w:rFonts w:ascii="Times New Roman" w:hAnsi="Times New Roman" w:cs="Times New Roman"/>
          <w:sz w:val="28"/>
          <w:szCs w:val="28"/>
        </w:rPr>
        <w:t xml:space="preserve">тся выпиской из ЕГРН. </w:t>
      </w:r>
      <w:r w:rsidR="00390678" w:rsidRPr="000A0F6A">
        <w:rPr>
          <w:rFonts w:ascii="Times New Roman" w:hAnsi="Times New Roman" w:cs="Times New Roman"/>
          <w:sz w:val="28"/>
          <w:szCs w:val="28"/>
        </w:rPr>
        <w:t xml:space="preserve">Выписка сведений </w:t>
      </w:r>
      <w:r w:rsidRPr="000A0F6A">
        <w:rPr>
          <w:rFonts w:ascii="Times New Roman" w:hAnsi="Times New Roman" w:cs="Times New Roman"/>
          <w:sz w:val="28"/>
          <w:szCs w:val="28"/>
        </w:rPr>
        <w:t>госреестра</w:t>
      </w:r>
      <w:r w:rsidR="00390678" w:rsidRPr="000A0F6A">
        <w:rPr>
          <w:rFonts w:ascii="Times New Roman" w:hAnsi="Times New Roman" w:cs="Times New Roman"/>
          <w:sz w:val="28"/>
          <w:szCs w:val="28"/>
        </w:rPr>
        <w:t xml:space="preserve"> необходима при проведении любых сделок с недвижимым имуществом. </w:t>
      </w:r>
      <w:r w:rsidR="00BC2F49" w:rsidRPr="000A0F6A">
        <w:rPr>
          <w:rFonts w:ascii="Times New Roman" w:hAnsi="Times New Roman" w:cs="Times New Roman"/>
          <w:sz w:val="28"/>
          <w:szCs w:val="28"/>
        </w:rPr>
        <w:t>С помощью н</w:t>
      </w:r>
      <w:r w:rsidR="009969AF" w:rsidRPr="000A0F6A">
        <w:rPr>
          <w:rFonts w:ascii="Times New Roman" w:hAnsi="Times New Roman" w:cs="Times New Roman"/>
          <w:sz w:val="28"/>
          <w:szCs w:val="28"/>
        </w:rPr>
        <w:t>ов</w:t>
      </w:r>
      <w:r w:rsidR="00BC2F49" w:rsidRPr="000A0F6A">
        <w:rPr>
          <w:rFonts w:ascii="Times New Roman" w:hAnsi="Times New Roman" w:cs="Times New Roman"/>
          <w:sz w:val="28"/>
          <w:szCs w:val="28"/>
        </w:rPr>
        <w:t>ого</w:t>
      </w:r>
      <w:r w:rsidR="009969AF" w:rsidRPr="000A0F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969AF" w:rsidRPr="000A0F6A">
          <w:rPr>
            <w:rStyle w:val="a6"/>
            <w:rFonts w:ascii="Times New Roman" w:hAnsi="Times New Roman" w:cs="Times New Roman"/>
            <w:sz w:val="28"/>
            <w:szCs w:val="28"/>
          </w:rPr>
          <w:t>онлайн-серви</w:t>
        </w:r>
        <w:r w:rsidR="00BC2F49" w:rsidRPr="000A0F6A">
          <w:rPr>
            <w:rStyle w:val="a6"/>
            <w:rFonts w:ascii="Times New Roman" w:hAnsi="Times New Roman" w:cs="Times New Roman"/>
            <w:sz w:val="28"/>
            <w:szCs w:val="28"/>
          </w:rPr>
          <w:t>са</w:t>
        </w:r>
      </w:hyperlink>
      <w:r w:rsidR="00BC2F49" w:rsidRPr="000A0F6A">
        <w:rPr>
          <w:rFonts w:ascii="Times New Roman" w:hAnsi="Times New Roman" w:cs="Times New Roman"/>
          <w:sz w:val="28"/>
          <w:szCs w:val="28"/>
        </w:rPr>
        <w:t xml:space="preserve"> Федеральной к</w:t>
      </w:r>
      <w:r w:rsidR="009969AF" w:rsidRPr="000A0F6A">
        <w:rPr>
          <w:rFonts w:ascii="Times New Roman" w:hAnsi="Times New Roman" w:cs="Times New Roman"/>
          <w:sz w:val="28"/>
          <w:szCs w:val="28"/>
        </w:rPr>
        <w:t xml:space="preserve">адастровой палаты выписку сведений об объекте </w:t>
      </w:r>
      <w:r w:rsidR="00A01640" w:rsidRPr="000A0F6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BC2F49" w:rsidRPr="000A0F6A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9969AF" w:rsidRPr="000A0F6A">
        <w:rPr>
          <w:rFonts w:ascii="Times New Roman" w:hAnsi="Times New Roman" w:cs="Times New Roman"/>
          <w:sz w:val="28"/>
          <w:szCs w:val="28"/>
        </w:rPr>
        <w:t>всего за несколько минут.</w:t>
      </w:r>
    </w:p>
    <w:p w14:paraId="32BA313C" w14:textId="39E6DBBE" w:rsidR="0062119B" w:rsidRPr="00AE0028" w:rsidRDefault="0062119B" w:rsidP="00FD0C0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19B" w:rsidRPr="00AE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50"/>
    <w:rsid w:val="00022245"/>
    <w:rsid w:val="00044C04"/>
    <w:rsid w:val="00097673"/>
    <w:rsid w:val="000A0F6A"/>
    <w:rsid w:val="000D21C4"/>
    <w:rsid w:val="00106A17"/>
    <w:rsid w:val="0012380D"/>
    <w:rsid w:val="00150290"/>
    <w:rsid w:val="00152ACF"/>
    <w:rsid w:val="00157CD4"/>
    <w:rsid w:val="001674F7"/>
    <w:rsid w:val="001B28AE"/>
    <w:rsid w:val="00221DA1"/>
    <w:rsid w:val="00222CBF"/>
    <w:rsid w:val="00275FF0"/>
    <w:rsid w:val="002F695A"/>
    <w:rsid w:val="00322110"/>
    <w:rsid w:val="00334FB6"/>
    <w:rsid w:val="00363ABD"/>
    <w:rsid w:val="00366D84"/>
    <w:rsid w:val="003674CC"/>
    <w:rsid w:val="00390678"/>
    <w:rsid w:val="003A1B22"/>
    <w:rsid w:val="004061BA"/>
    <w:rsid w:val="0041085A"/>
    <w:rsid w:val="00440C06"/>
    <w:rsid w:val="004507E2"/>
    <w:rsid w:val="00492044"/>
    <w:rsid w:val="00504F57"/>
    <w:rsid w:val="00535B2A"/>
    <w:rsid w:val="00536F88"/>
    <w:rsid w:val="0057033D"/>
    <w:rsid w:val="0058062B"/>
    <w:rsid w:val="005A4205"/>
    <w:rsid w:val="0062119B"/>
    <w:rsid w:val="006303B8"/>
    <w:rsid w:val="006349A5"/>
    <w:rsid w:val="00637949"/>
    <w:rsid w:val="00662330"/>
    <w:rsid w:val="00693A29"/>
    <w:rsid w:val="006B007F"/>
    <w:rsid w:val="00730FD2"/>
    <w:rsid w:val="00797E37"/>
    <w:rsid w:val="007C214C"/>
    <w:rsid w:val="007D1675"/>
    <w:rsid w:val="007D4F22"/>
    <w:rsid w:val="00814424"/>
    <w:rsid w:val="008206ED"/>
    <w:rsid w:val="00872164"/>
    <w:rsid w:val="008D2E32"/>
    <w:rsid w:val="008D2F50"/>
    <w:rsid w:val="0090292E"/>
    <w:rsid w:val="00915E9E"/>
    <w:rsid w:val="009961BD"/>
    <w:rsid w:val="009969AF"/>
    <w:rsid w:val="009A21CE"/>
    <w:rsid w:val="009A43DD"/>
    <w:rsid w:val="009C62E7"/>
    <w:rsid w:val="009D5A04"/>
    <w:rsid w:val="00A01640"/>
    <w:rsid w:val="00A07BD3"/>
    <w:rsid w:val="00A145DA"/>
    <w:rsid w:val="00A337C3"/>
    <w:rsid w:val="00AE0028"/>
    <w:rsid w:val="00AE0567"/>
    <w:rsid w:val="00B0434E"/>
    <w:rsid w:val="00B2294C"/>
    <w:rsid w:val="00B256F0"/>
    <w:rsid w:val="00B63101"/>
    <w:rsid w:val="00B65C2E"/>
    <w:rsid w:val="00BA0DFA"/>
    <w:rsid w:val="00BA1D41"/>
    <w:rsid w:val="00BC2F49"/>
    <w:rsid w:val="00C00633"/>
    <w:rsid w:val="00C1325B"/>
    <w:rsid w:val="00C40F36"/>
    <w:rsid w:val="00C65E20"/>
    <w:rsid w:val="00CA7016"/>
    <w:rsid w:val="00CE74B9"/>
    <w:rsid w:val="00D06D36"/>
    <w:rsid w:val="00D5458A"/>
    <w:rsid w:val="00D56A48"/>
    <w:rsid w:val="00DB34D4"/>
    <w:rsid w:val="00DC77E1"/>
    <w:rsid w:val="00DF0F84"/>
    <w:rsid w:val="00E013BA"/>
    <w:rsid w:val="00E2606D"/>
    <w:rsid w:val="00E46D8F"/>
    <w:rsid w:val="00ED5F62"/>
    <w:rsid w:val="00F05634"/>
    <w:rsid w:val="00F41C6A"/>
    <w:rsid w:val="00F56E39"/>
    <w:rsid w:val="00F86829"/>
    <w:rsid w:val="00F878E7"/>
    <w:rsid w:val="00FD0C0D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B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D41"/>
    <w:rPr>
      <w:b/>
      <w:bCs/>
    </w:rPr>
  </w:style>
  <w:style w:type="character" w:styleId="a4">
    <w:name w:val="Emphasis"/>
    <w:basedOn w:val="a0"/>
    <w:uiPriority w:val="20"/>
    <w:qFormat/>
    <w:rsid w:val="00BA1D41"/>
    <w:rPr>
      <w:i/>
      <w:iCs/>
    </w:rPr>
  </w:style>
  <w:style w:type="paragraph" w:styleId="a5">
    <w:name w:val="Normal (Web)"/>
    <w:basedOn w:val="a"/>
    <w:uiPriority w:val="99"/>
    <w:semiHidden/>
    <w:unhideWhenUsed/>
    <w:rsid w:val="00A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0F8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63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00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06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06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6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0633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A4205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0A0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D41"/>
    <w:rPr>
      <w:b/>
      <w:bCs/>
    </w:rPr>
  </w:style>
  <w:style w:type="character" w:styleId="a4">
    <w:name w:val="Emphasis"/>
    <w:basedOn w:val="a0"/>
    <w:uiPriority w:val="20"/>
    <w:qFormat/>
    <w:rsid w:val="00BA1D41"/>
    <w:rPr>
      <w:i/>
      <w:iCs/>
    </w:rPr>
  </w:style>
  <w:style w:type="paragraph" w:styleId="a5">
    <w:name w:val="Normal (Web)"/>
    <w:basedOn w:val="a"/>
    <w:uiPriority w:val="99"/>
    <w:semiHidden/>
    <w:unhideWhenUsed/>
    <w:rsid w:val="00A3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0F8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63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00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06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06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6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0633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A4205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0A0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magazine/news/sredniy-srok-kadastrovogo-ucheta-v-2019-godu-sostavil-4-dn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oformit-nedvizhimos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Первухина Надежда Михайловна</cp:lastModifiedBy>
  <cp:revision>6</cp:revision>
  <dcterms:created xsi:type="dcterms:W3CDTF">2020-03-02T11:46:00Z</dcterms:created>
  <dcterms:modified xsi:type="dcterms:W3CDTF">2020-03-24T10:39:00Z</dcterms:modified>
</cp:coreProperties>
</file>